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2770" w:rsidRDefault="00392770">
      <w:pPr>
        <w:jc w:val="center"/>
        <w:rPr>
          <w:color w:val="212529"/>
          <w:sz w:val="23"/>
          <w:szCs w:val="23"/>
          <w:highlight w:val="white"/>
        </w:rPr>
      </w:pPr>
    </w:p>
    <w:p w14:paraId="004506A9" w14:textId="77777777" w:rsidR="000F4664" w:rsidRPr="00AB5586" w:rsidRDefault="000F4664" w:rsidP="000F4664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  <w:bookmarkStart w:id="0" w:name="_Hlk69832156"/>
      <w:r w:rsidRPr="00AB5586">
        <w:rPr>
          <w:rFonts w:asciiTheme="minorHAnsi" w:hAnsiTheme="minorHAnsi" w:cstheme="minorHAnsi"/>
          <w:color w:val="212529"/>
          <w:sz w:val="24"/>
          <w:szCs w:val="24"/>
          <w:u w:val="single"/>
        </w:rPr>
        <w:t>Uzņēmuma nosaukums</w:t>
      </w:r>
    </w:p>
    <w:p w14:paraId="731D2881" w14:textId="3FFB7896" w:rsidR="000F4664" w:rsidRDefault="000F4664" w:rsidP="000F4664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  <w:r w:rsidRPr="00AB5586">
        <w:rPr>
          <w:rFonts w:asciiTheme="minorHAnsi" w:hAnsiTheme="minorHAnsi" w:cstheme="minorHAnsi"/>
          <w:color w:val="212529"/>
          <w:sz w:val="24"/>
          <w:szCs w:val="24"/>
          <w:u w:val="single"/>
        </w:rPr>
        <w:t>Reģ. Nr.</w:t>
      </w:r>
    </w:p>
    <w:p w14:paraId="2D4DEFC8" w14:textId="21F4849B" w:rsidR="00804AFD" w:rsidRDefault="00804AFD" w:rsidP="000F4664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</w:p>
    <w:p w14:paraId="41343178" w14:textId="5B3CE058" w:rsidR="00804AFD" w:rsidRPr="00AB5586" w:rsidRDefault="00804AFD" w:rsidP="00804AFD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  <w:r>
        <w:rPr>
          <w:rFonts w:asciiTheme="minorHAnsi" w:hAnsiTheme="minorHAnsi" w:cstheme="minorHAnsi"/>
          <w:color w:val="212529"/>
          <w:sz w:val="24"/>
          <w:szCs w:val="24"/>
          <w:u w:val="single"/>
        </w:rPr>
        <w:t xml:space="preserve">Optikas veikala </w:t>
      </w:r>
      <w:r w:rsidRPr="00AB5586">
        <w:rPr>
          <w:rFonts w:asciiTheme="minorHAnsi" w:hAnsiTheme="minorHAnsi" w:cstheme="minorHAnsi"/>
          <w:color w:val="212529"/>
          <w:sz w:val="24"/>
          <w:szCs w:val="24"/>
          <w:u w:val="single"/>
        </w:rPr>
        <w:t>nosaukums</w:t>
      </w:r>
    </w:p>
    <w:p w14:paraId="0A5A9387" w14:textId="248D492C" w:rsidR="00804AFD" w:rsidRDefault="00804AFD" w:rsidP="00804AFD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  <w:r>
        <w:rPr>
          <w:rFonts w:asciiTheme="minorHAnsi" w:hAnsiTheme="minorHAnsi" w:cstheme="minorHAnsi"/>
          <w:color w:val="212529"/>
          <w:sz w:val="24"/>
          <w:szCs w:val="24"/>
          <w:u w:val="single"/>
        </w:rPr>
        <w:t>Optikas veikala adrese</w:t>
      </w:r>
    </w:p>
    <w:p w14:paraId="3C8FE395" w14:textId="77777777" w:rsidR="00804AFD" w:rsidRPr="00AB5586" w:rsidRDefault="00804AFD" w:rsidP="000F4664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</w:p>
    <w:p w14:paraId="40A7D606" w14:textId="77777777" w:rsidR="000F4664" w:rsidRPr="0065767C" w:rsidRDefault="000F4664" w:rsidP="000F4664">
      <w:pPr>
        <w:pStyle w:val="Normal1"/>
        <w:jc w:val="center"/>
        <w:rPr>
          <w:color w:val="212529"/>
          <w:sz w:val="23"/>
          <w:szCs w:val="23"/>
        </w:rPr>
      </w:pPr>
    </w:p>
    <w:bookmarkEnd w:id="0"/>
    <w:p w14:paraId="01CA8178" w14:textId="77777777" w:rsidR="000F4664" w:rsidRDefault="000F4664" w:rsidP="000F4664">
      <w:pPr>
        <w:pStyle w:val="Standard"/>
      </w:pPr>
    </w:p>
    <w:p w14:paraId="50D5918A" w14:textId="77777777" w:rsidR="000F4664" w:rsidRPr="00AC1447" w:rsidRDefault="000F4664" w:rsidP="000F4664">
      <w:pPr>
        <w:pStyle w:val="Standard"/>
        <w:autoSpaceDE w:val="0"/>
        <w:rPr>
          <w:rFonts w:asciiTheme="minorHAnsi" w:eastAsia="Times New Roman" w:hAnsiTheme="minorHAnsi" w:cstheme="minorHAnsi"/>
          <w:color w:val="000000"/>
          <w:u w:val="single"/>
        </w:rPr>
      </w:pPr>
      <w:r>
        <w:rPr>
          <w:rFonts w:eastAsia="Times New Roman" w:cs="Times New Roman"/>
          <w:color w:val="000000"/>
        </w:rPr>
        <w:t xml:space="preserve"> </w:t>
      </w:r>
      <w:r w:rsidRPr="00AC1447">
        <w:rPr>
          <w:rFonts w:asciiTheme="minorHAnsi" w:eastAsia="Times New Roman" w:hAnsiTheme="minorHAnsi" w:cstheme="minorHAnsi"/>
          <w:color w:val="000000"/>
          <w:u w:val="single"/>
        </w:rPr>
        <w:t xml:space="preserve">Vieta, datums   </w:t>
      </w:r>
    </w:p>
    <w:p w14:paraId="2C3D36C6" w14:textId="7182BF8D" w:rsidR="000F4664" w:rsidRPr="00AC1447" w:rsidRDefault="000F4664" w:rsidP="000F4664">
      <w:pPr>
        <w:pStyle w:val="Standard"/>
        <w:autoSpaceDE w:val="0"/>
        <w:rPr>
          <w:rFonts w:asciiTheme="minorHAnsi" w:eastAsia="Times New Roman" w:hAnsiTheme="minorHAnsi" w:cstheme="minorHAnsi"/>
          <w:color w:val="000000"/>
        </w:rPr>
      </w:pPr>
      <w:r w:rsidRPr="00AC1447">
        <w:rPr>
          <w:rFonts w:asciiTheme="minorHAnsi" w:eastAsia="Times New Roman" w:hAnsiTheme="minorHAnsi" w:cstheme="minorHAnsi"/>
          <w:color w:val="000000"/>
        </w:rPr>
        <w:tab/>
      </w:r>
      <w:r w:rsidRPr="00AC1447">
        <w:rPr>
          <w:rFonts w:asciiTheme="minorHAnsi" w:eastAsia="Times New Roman" w:hAnsiTheme="minorHAnsi" w:cstheme="minorHAnsi"/>
          <w:color w:val="000000"/>
        </w:rPr>
        <w:tab/>
      </w:r>
      <w:r w:rsidRPr="00AC1447">
        <w:rPr>
          <w:rFonts w:asciiTheme="minorHAnsi" w:eastAsia="Times New Roman" w:hAnsiTheme="minorHAnsi" w:cstheme="minorHAnsi"/>
          <w:color w:val="000000"/>
        </w:rPr>
        <w:tab/>
      </w:r>
      <w:r w:rsidRPr="00AC1447">
        <w:rPr>
          <w:rFonts w:asciiTheme="minorHAnsi" w:eastAsia="Times New Roman" w:hAnsiTheme="minorHAnsi" w:cstheme="minorHAnsi"/>
          <w:color w:val="000000"/>
        </w:rPr>
        <w:tab/>
      </w:r>
    </w:p>
    <w:p w14:paraId="436B1A07" w14:textId="492A7B0B" w:rsidR="000F4664" w:rsidRDefault="00EB2BEF" w:rsidP="00EB2BEF">
      <w:pPr>
        <w:pStyle w:val="Normal1"/>
        <w:ind w:left="2596"/>
        <w:rPr>
          <w:rFonts w:asciiTheme="minorHAnsi" w:hAnsiTheme="minorHAnsi" w:cstheme="minorHAnsi"/>
          <w:color w:val="212529"/>
          <w:sz w:val="23"/>
          <w:szCs w:val="23"/>
          <w:highlight w:val="white"/>
        </w:rPr>
      </w:pPr>
      <w:r w:rsidRPr="00AC1447">
        <w:rPr>
          <w:rFonts w:asciiTheme="minorHAnsi" w:eastAsia="Times New Roman" w:hAnsiTheme="minorHAnsi" w:cstheme="minorHAnsi"/>
          <w:color w:val="000000"/>
          <w:sz w:val="28"/>
          <w:szCs w:val="28"/>
        </w:rPr>
        <w:t>Apstiprinu</w:t>
      </w:r>
      <w:r w:rsidRPr="00AC1447">
        <w:rPr>
          <w:rFonts w:asciiTheme="minorHAnsi" w:eastAsia="Times New Roman" w:hAnsiTheme="minorHAnsi" w:cstheme="minorHAnsi"/>
          <w:color w:val="000000"/>
        </w:rPr>
        <w:t xml:space="preserve">: </w:t>
      </w:r>
      <w:r w:rsidRPr="00AC1447">
        <w:rPr>
          <w:rFonts w:asciiTheme="minorHAnsi" w:eastAsia="Times New Roman" w:hAnsiTheme="minorHAnsi" w:cstheme="minorHAnsi"/>
          <w:color w:val="000000"/>
          <w:u w:val="single"/>
        </w:rPr>
        <w:t>uzņēmuma amatpersonas vārds uzvārds, p</w:t>
      </w:r>
      <w:r>
        <w:rPr>
          <w:rFonts w:asciiTheme="minorHAnsi" w:eastAsia="Times New Roman" w:hAnsiTheme="minorHAnsi" w:cstheme="minorHAnsi"/>
          <w:color w:val="000000"/>
          <w:u w:val="single"/>
        </w:rPr>
        <w:t>a</w:t>
      </w:r>
      <w:r w:rsidRPr="00AC1447">
        <w:rPr>
          <w:rFonts w:asciiTheme="minorHAnsi" w:eastAsia="Times New Roman" w:hAnsiTheme="minorHAnsi" w:cstheme="minorHAnsi"/>
          <w:color w:val="000000"/>
          <w:u w:val="single"/>
        </w:rPr>
        <w:t>raksts</w:t>
      </w:r>
    </w:p>
    <w:p w14:paraId="50DC34F0" w14:textId="77777777" w:rsidR="007E2FEF" w:rsidRPr="00AC1447" w:rsidRDefault="007E2FEF" w:rsidP="000F4664">
      <w:pPr>
        <w:pStyle w:val="Normal1"/>
        <w:ind w:left="-284"/>
        <w:rPr>
          <w:rFonts w:asciiTheme="minorHAnsi" w:hAnsiTheme="minorHAnsi" w:cstheme="minorHAnsi"/>
          <w:color w:val="212529"/>
          <w:sz w:val="23"/>
          <w:szCs w:val="23"/>
          <w:highlight w:val="white"/>
        </w:rPr>
      </w:pPr>
    </w:p>
    <w:p w14:paraId="0000000B" w14:textId="77777777" w:rsidR="00392770" w:rsidRDefault="00392770"/>
    <w:p w14:paraId="0000000C" w14:textId="77777777" w:rsidR="00392770" w:rsidRDefault="00392770">
      <w:pPr>
        <w:jc w:val="center"/>
      </w:pPr>
    </w:p>
    <w:p w14:paraId="0000000D" w14:textId="77777777" w:rsidR="00392770" w:rsidRDefault="00392770">
      <w:pPr>
        <w:jc w:val="center"/>
      </w:pPr>
    </w:p>
    <w:p w14:paraId="0000000E" w14:textId="16A460B7" w:rsidR="00392770" w:rsidRPr="00E76EC8" w:rsidRDefault="007E2FEF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Optometrista p</w:t>
      </w:r>
      <w:r w:rsidR="00E76EC8" w:rsidRPr="00E76EC8">
        <w:rPr>
          <w:rFonts w:ascii="Calibri" w:hAnsi="Calibri" w:cs="Calibri"/>
          <w:sz w:val="40"/>
          <w:szCs w:val="40"/>
        </w:rPr>
        <w:t xml:space="preserve">raksē izmantoto medicīnisko tehnoloģiju </w:t>
      </w:r>
      <w:r w:rsidR="000F4664">
        <w:rPr>
          <w:rFonts w:ascii="Calibri" w:hAnsi="Calibri" w:cs="Calibri"/>
          <w:sz w:val="40"/>
          <w:szCs w:val="40"/>
        </w:rPr>
        <w:t xml:space="preserve">                           </w:t>
      </w:r>
      <w:r w:rsidR="00E76EC8" w:rsidRPr="00E76EC8">
        <w:rPr>
          <w:rFonts w:ascii="Calibri" w:hAnsi="Calibri" w:cs="Calibri"/>
          <w:sz w:val="40"/>
          <w:szCs w:val="40"/>
        </w:rPr>
        <w:t>un iekārtu saraksts</w:t>
      </w:r>
    </w:p>
    <w:p w14:paraId="0000000F" w14:textId="77777777" w:rsidR="00392770" w:rsidRDefault="00392770">
      <w:pPr>
        <w:jc w:val="center"/>
        <w:rPr>
          <w:sz w:val="40"/>
          <w:szCs w:val="40"/>
        </w:rPr>
      </w:pPr>
    </w:p>
    <w:p w14:paraId="00000010" w14:textId="77777777" w:rsidR="00392770" w:rsidRDefault="00392770">
      <w:pPr>
        <w:jc w:val="center"/>
        <w:rPr>
          <w:sz w:val="40"/>
          <w:szCs w:val="40"/>
        </w:rPr>
      </w:pPr>
    </w:p>
    <w:p w14:paraId="00000011" w14:textId="77777777" w:rsidR="00392770" w:rsidRDefault="00392770">
      <w:pPr>
        <w:jc w:val="center"/>
        <w:rPr>
          <w:sz w:val="40"/>
          <w:szCs w:val="40"/>
        </w:rPr>
      </w:pPr>
    </w:p>
    <w:p w14:paraId="00000012" w14:textId="77777777" w:rsidR="00392770" w:rsidRDefault="00392770">
      <w:pPr>
        <w:jc w:val="center"/>
        <w:rPr>
          <w:sz w:val="40"/>
          <w:szCs w:val="40"/>
        </w:rPr>
      </w:pPr>
    </w:p>
    <w:p w14:paraId="00000013" w14:textId="77777777" w:rsidR="00392770" w:rsidRDefault="00392770">
      <w:pPr>
        <w:jc w:val="center"/>
        <w:rPr>
          <w:sz w:val="40"/>
          <w:szCs w:val="40"/>
        </w:rPr>
      </w:pPr>
    </w:p>
    <w:p w14:paraId="00000014" w14:textId="77777777" w:rsidR="00392770" w:rsidRDefault="00392770">
      <w:pPr>
        <w:jc w:val="center"/>
        <w:rPr>
          <w:sz w:val="40"/>
          <w:szCs w:val="40"/>
        </w:rPr>
      </w:pPr>
    </w:p>
    <w:p w14:paraId="00000015" w14:textId="77777777" w:rsidR="00392770" w:rsidRDefault="00392770">
      <w:pPr>
        <w:jc w:val="center"/>
        <w:rPr>
          <w:sz w:val="40"/>
          <w:szCs w:val="40"/>
        </w:rPr>
      </w:pPr>
    </w:p>
    <w:p w14:paraId="00000016" w14:textId="77777777" w:rsidR="00392770" w:rsidRDefault="00392770">
      <w:pPr>
        <w:jc w:val="center"/>
        <w:rPr>
          <w:sz w:val="40"/>
          <w:szCs w:val="40"/>
        </w:rPr>
      </w:pPr>
    </w:p>
    <w:p w14:paraId="00000017" w14:textId="77777777" w:rsidR="00392770" w:rsidRDefault="00392770">
      <w:pPr>
        <w:jc w:val="center"/>
        <w:rPr>
          <w:sz w:val="40"/>
          <w:szCs w:val="40"/>
        </w:rPr>
      </w:pPr>
    </w:p>
    <w:p w14:paraId="00000018" w14:textId="77777777" w:rsidR="00392770" w:rsidRDefault="00392770">
      <w:pPr>
        <w:jc w:val="center"/>
        <w:rPr>
          <w:sz w:val="40"/>
          <w:szCs w:val="40"/>
        </w:rPr>
      </w:pPr>
    </w:p>
    <w:p w14:paraId="00000019" w14:textId="77777777" w:rsidR="00392770" w:rsidRDefault="00392770">
      <w:pPr>
        <w:jc w:val="center"/>
        <w:rPr>
          <w:sz w:val="40"/>
          <w:szCs w:val="40"/>
        </w:rPr>
      </w:pPr>
    </w:p>
    <w:p w14:paraId="0000001A" w14:textId="77777777" w:rsidR="00392770" w:rsidRDefault="00392770">
      <w:pPr>
        <w:jc w:val="center"/>
        <w:rPr>
          <w:sz w:val="40"/>
          <w:szCs w:val="40"/>
        </w:rPr>
      </w:pPr>
    </w:p>
    <w:p w14:paraId="0000001B" w14:textId="77777777" w:rsidR="00392770" w:rsidRDefault="00392770">
      <w:pPr>
        <w:jc w:val="center"/>
        <w:rPr>
          <w:sz w:val="40"/>
          <w:szCs w:val="40"/>
        </w:rPr>
      </w:pPr>
    </w:p>
    <w:p w14:paraId="0000001C" w14:textId="77777777" w:rsidR="00392770" w:rsidRDefault="00392770">
      <w:pPr>
        <w:jc w:val="center"/>
        <w:rPr>
          <w:sz w:val="40"/>
          <w:szCs w:val="40"/>
        </w:rPr>
      </w:pPr>
    </w:p>
    <w:p w14:paraId="0000001D" w14:textId="77777777" w:rsidR="00392770" w:rsidRDefault="00392770">
      <w:pPr>
        <w:jc w:val="center"/>
        <w:rPr>
          <w:sz w:val="40"/>
          <w:szCs w:val="40"/>
        </w:rPr>
      </w:pPr>
    </w:p>
    <w:p w14:paraId="00000021" w14:textId="77777777" w:rsidR="00392770" w:rsidRDefault="00392770">
      <w:pPr>
        <w:jc w:val="center"/>
        <w:rPr>
          <w:sz w:val="38"/>
          <w:szCs w:val="38"/>
        </w:rPr>
      </w:pPr>
    </w:p>
    <w:p w14:paraId="00000022" w14:textId="77777777" w:rsidR="00392770" w:rsidRPr="00E76EC8" w:rsidRDefault="00E76EC8">
      <w:pPr>
        <w:jc w:val="center"/>
        <w:rPr>
          <w:rFonts w:ascii="Calibri" w:hAnsi="Calibri" w:cs="Calibri"/>
          <w:sz w:val="40"/>
          <w:szCs w:val="40"/>
        </w:rPr>
      </w:pPr>
      <w:r w:rsidRPr="00E76EC8">
        <w:rPr>
          <w:rFonts w:ascii="Calibri" w:hAnsi="Calibri" w:cs="Calibri"/>
          <w:sz w:val="40"/>
          <w:szCs w:val="40"/>
        </w:rPr>
        <w:t>Medicīnisko tehnoloģiju saraksts</w:t>
      </w:r>
    </w:p>
    <w:p w14:paraId="00000023" w14:textId="77777777" w:rsidR="00392770" w:rsidRDefault="00392770">
      <w:pPr>
        <w:jc w:val="center"/>
        <w:rPr>
          <w:sz w:val="24"/>
          <w:szCs w:val="24"/>
        </w:rPr>
      </w:pPr>
    </w:p>
    <w:p w14:paraId="00000025" w14:textId="77777777" w:rsidR="00392770" w:rsidRDefault="00392770">
      <w:pPr>
        <w:jc w:val="center"/>
        <w:rPr>
          <w:sz w:val="24"/>
          <w:szCs w:val="24"/>
        </w:rPr>
      </w:pPr>
    </w:p>
    <w:p w14:paraId="00000026" w14:textId="21383E81" w:rsidR="00392770" w:rsidRDefault="00EB2BEF" w:rsidP="00AD6BCB">
      <w:pPr>
        <w:pStyle w:val="ListParagraph"/>
        <w:numPr>
          <w:ilvl w:val="0"/>
          <w:numId w:val="2"/>
        </w:numPr>
        <w:shd w:val="clear" w:color="auto" w:fill="FFFFFF"/>
        <w:spacing w:before="80" w:after="320"/>
        <w:rPr>
          <w:rFonts w:ascii="Calibri" w:eastAsia="Roboto" w:hAnsi="Calibri" w:cs="Calibri"/>
          <w:sz w:val="24"/>
          <w:szCs w:val="24"/>
        </w:rPr>
      </w:pPr>
      <w:hyperlink r:id="rId5">
        <w:r w:rsidR="00E76EC8" w:rsidRPr="00AD6BCB">
          <w:rPr>
            <w:rFonts w:ascii="Calibri" w:eastAsia="Roboto" w:hAnsi="Calibri" w:cs="Calibri"/>
            <w:sz w:val="24"/>
            <w:szCs w:val="24"/>
          </w:rPr>
          <w:t>Redzes funkciju novērtēšana optometrista praksē</w:t>
        </w:r>
      </w:hyperlink>
    </w:p>
    <w:p w14:paraId="05C299CF" w14:textId="77777777" w:rsidR="00BA4D63" w:rsidRDefault="00BA4D63" w:rsidP="00BA4D63">
      <w:pPr>
        <w:pStyle w:val="ListParagraph"/>
        <w:shd w:val="clear" w:color="auto" w:fill="FFFFFF"/>
        <w:spacing w:before="80" w:after="320"/>
        <w:ind w:left="1080"/>
        <w:rPr>
          <w:rFonts w:ascii="Calibri" w:eastAsia="Roboto" w:hAnsi="Calibri" w:cs="Calibri"/>
          <w:sz w:val="24"/>
          <w:szCs w:val="24"/>
        </w:rPr>
      </w:pPr>
    </w:p>
    <w:p w14:paraId="290139BB" w14:textId="77777777" w:rsidR="00BA4D63" w:rsidRPr="00AD6BCB" w:rsidRDefault="00BA4D63" w:rsidP="00BA4D63">
      <w:pPr>
        <w:pStyle w:val="ListParagraph"/>
        <w:numPr>
          <w:ilvl w:val="0"/>
          <w:numId w:val="2"/>
        </w:numPr>
        <w:shd w:val="clear" w:color="auto" w:fill="FFFFFF"/>
        <w:spacing w:before="80" w:after="320"/>
        <w:rPr>
          <w:rFonts w:ascii="Calibri" w:eastAsia="Roboto" w:hAnsi="Calibri" w:cs="Calibri"/>
          <w:sz w:val="24"/>
          <w:szCs w:val="24"/>
        </w:rPr>
      </w:pPr>
      <w:hyperlink r:id="rId6">
        <w:r w:rsidRPr="00AD6BCB">
          <w:rPr>
            <w:rFonts w:ascii="Calibri" w:eastAsia="Roboto" w:hAnsi="Calibri" w:cs="Calibri"/>
            <w:sz w:val="24"/>
            <w:szCs w:val="24"/>
          </w:rPr>
          <w:t>Redzes korekcijas un pēcaprūpes nozīmēšana optometrista praksē</w:t>
        </w:r>
      </w:hyperlink>
    </w:p>
    <w:p w14:paraId="6E7AD20F" w14:textId="77777777" w:rsidR="00AD6BCB" w:rsidRPr="00AD6BCB" w:rsidRDefault="00AD6BCB" w:rsidP="00AD6BCB">
      <w:pPr>
        <w:pStyle w:val="ListParagraph"/>
        <w:shd w:val="clear" w:color="auto" w:fill="FFFFFF"/>
        <w:spacing w:before="80" w:after="320"/>
        <w:ind w:left="1080"/>
        <w:rPr>
          <w:rFonts w:ascii="Calibri" w:eastAsia="Roboto" w:hAnsi="Calibri" w:cs="Calibri"/>
          <w:sz w:val="24"/>
          <w:szCs w:val="24"/>
        </w:rPr>
      </w:pPr>
    </w:p>
    <w:p w14:paraId="7691AF7D" w14:textId="4597592F" w:rsidR="00AD6BCB" w:rsidRDefault="00AD6BCB" w:rsidP="00AD6BCB">
      <w:pPr>
        <w:pStyle w:val="ListParagraph"/>
        <w:numPr>
          <w:ilvl w:val="0"/>
          <w:numId w:val="2"/>
        </w:numPr>
        <w:shd w:val="clear" w:color="auto" w:fill="FFFFFF"/>
        <w:spacing w:before="80" w:after="320"/>
        <w:rPr>
          <w:rFonts w:ascii="Calibri" w:eastAsia="Roboto" w:hAnsi="Calibri" w:cs="Calibri"/>
          <w:sz w:val="24"/>
          <w:szCs w:val="24"/>
        </w:rPr>
      </w:pPr>
      <w:hyperlink r:id="rId7">
        <w:r w:rsidRPr="00AD6BCB">
          <w:rPr>
            <w:rFonts w:ascii="Calibri" w:eastAsia="Roboto" w:hAnsi="Calibri" w:cs="Calibri"/>
            <w:sz w:val="24"/>
            <w:szCs w:val="24"/>
          </w:rPr>
          <w:t>Acu struktūru veselības novērtēšana optometrista praksē</w:t>
        </w:r>
      </w:hyperlink>
    </w:p>
    <w:p w14:paraId="2C419DE4" w14:textId="77777777" w:rsidR="00AD6BCB" w:rsidRPr="00AD6BCB" w:rsidRDefault="00AD6BCB" w:rsidP="00AD6BCB">
      <w:pPr>
        <w:pStyle w:val="ListParagraph"/>
        <w:rPr>
          <w:rFonts w:ascii="Calibri" w:eastAsia="Roboto" w:hAnsi="Calibri" w:cs="Calibri"/>
          <w:sz w:val="24"/>
          <w:szCs w:val="24"/>
        </w:rPr>
      </w:pPr>
    </w:p>
    <w:p w14:paraId="00000029" w14:textId="77777777" w:rsidR="00392770" w:rsidRPr="00E76EC8" w:rsidRDefault="00EB2BEF">
      <w:pPr>
        <w:shd w:val="clear" w:color="auto" w:fill="FFFFFF"/>
        <w:spacing w:before="80" w:after="320"/>
        <w:ind w:left="720"/>
        <w:rPr>
          <w:rFonts w:ascii="Calibri" w:eastAsia="Roboto" w:hAnsi="Calibri" w:cs="Calibri"/>
          <w:sz w:val="24"/>
          <w:szCs w:val="24"/>
        </w:rPr>
      </w:pPr>
      <w:hyperlink r:id="rId8">
        <w:r w:rsidR="00E76EC8" w:rsidRPr="00E76EC8">
          <w:rPr>
            <w:rFonts w:ascii="Calibri" w:eastAsia="Roboto" w:hAnsi="Calibri" w:cs="Calibri"/>
            <w:sz w:val="24"/>
            <w:szCs w:val="24"/>
          </w:rPr>
          <w:t>4. Redzes rehabilitācija optometrista praksē</w:t>
        </w:r>
      </w:hyperlink>
    </w:p>
    <w:p w14:paraId="0000002A" w14:textId="77777777" w:rsidR="00392770" w:rsidRPr="00E76EC8" w:rsidRDefault="00EB2BEF">
      <w:pPr>
        <w:shd w:val="clear" w:color="auto" w:fill="FFFFFF"/>
        <w:spacing w:before="80" w:after="320"/>
        <w:ind w:left="720"/>
        <w:rPr>
          <w:rFonts w:ascii="Calibri" w:eastAsia="Roboto" w:hAnsi="Calibri" w:cs="Calibri"/>
          <w:sz w:val="24"/>
          <w:szCs w:val="24"/>
        </w:rPr>
      </w:pPr>
      <w:hyperlink r:id="rId9">
        <w:r w:rsidR="00E76EC8" w:rsidRPr="00E76EC8">
          <w:rPr>
            <w:rFonts w:ascii="Calibri" w:eastAsia="Roboto" w:hAnsi="Calibri" w:cs="Calibri"/>
            <w:sz w:val="24"/>
            <w:szCs w:val="24"/>
          </w:rPr>
          <w:t>5. Vājredzīgu pacientu redzes spēju novērtēšana un korekcijas palīglīdzekļu nozīmēšana optometrista praksē</w:t>
        </w:r>
      </w:hyperlink>
    </w:p>
    <w:p w14:paraId="0000002C" w14:textId="2AE7C151" w:rsidR="00392770" w:rsidRDefault="00EB2BEF" w:rsidP="00C135D1">
      <w:pPr>
        <w:shd w:val="clear" w:color="auto" w:fill="FFFFFF"/>
        <w:spacing w:before="80" w:after="320"/>
        <w:ind w:left="720"/>
        <w:rPr>
          <w:rFonts w:ascii="Calibri" w:eastAsia="Roboto" w:hAnsi="Calibri" w:cs="Calibri"/>
          <w:sz w:val="24"/>
          <w:szCs w:val="24"/>
        </w:rPr>
      </w:pPr>
      <w:hyperlink r:id="rId10">
        <w:r w:rsidR="00E76EC8" w:rsidRPr="00E76EC8">
          <w:rPr>
            <w:rFonts w:ascii="Calibri" w:eastAsia="Roboto" w:hAnsi="Calibri" w:cs="Calibri"/>
            <w:sz w:val="24"/>
            <w:szCs w:val="24"/>
          </w:rPr>
          <w:t>6. Redzes profilaktiskā pārbaude bērniem optometrista praksē</w:t>
        </w:r>
      </w:hyperlink>
    </w:p>
    <w:p w14:paraId="17F00A02" w14:textId="64A0BF44" w:rsidR="007E2FEF" w:rsidRDefault="007E2FEF" w:rsidP="00C135D1">
      <w:pPr>
        <w:shd w:val="clear" w:color="auto" w:fill="FFFFFF"/>
        <w:spacing w:before="80" w:after="320"/>
        <w:ind w:left="720"/>
        <w:rPr>
          <w:rFonts w:asciiTheme="majorHAnsi" w:hAnsiTheme="majorHAnsi" w:cstheme="majorHAnsi"/>
          <w:sz w:val="24"/>
          <w:szCs w:val="24"/>
        </w:rPr>
      </w:pPr>
      <w:r w:rsidRPr="007E2FEF">
        <w:rPr>
          <w:rFonts w:asciiTheme="majorHAnsi" w:hAnsiTheme="majorHAnsi" w:cstheme="majorHAnsi"/>
          <w:sz w:val="24"/>
          <w:szCs w:val="24"/>
        </w:rPr>
        <w:t xml:space="preserve">Saraksts apstiprināts Zāļu valsts aģentūrā </w:t>
      </w:r>
      <w:r>
        <w:rPr>
          <w:rFonts w:asciiTheme="majorHAnsi" w:hAnsiTheme="majorHAnsi" w:cstheme="majorHAnsi"/>
          <w:sz w:val="24"/>
          <w:szCs w:val="24"/>
        </w:rPr>
        <w:t>2020.gada 19.jūnijā ar lēmumu Nr.1-50/411.</w:t>
      </w:r>
    </w:p>
    <w:p w14:paraId="05D673D7" w14:textId="0AE74FBB" w:rsidR="007E2FEF" w:rsidRDefault="007E2FEF" w:rsidP="00C135D1">
      <w:pPr>
        <w:shd w:val="clear" w:color="auto" w:fill="FFFFFF"/>
        <w:spacing w:before="80" w:after="320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Izvērsts medicīnisko tehnoloģiju apraksts pieejams atsevišķā dokumentā, kā arī Valsts zāļu aģentūras mājas lapā:</w:t>
      </w:r>
    </w:p>
    <w:p w14:paraId="66EA75D9" w14:textId="201D55BF" w:rsidR="007E2FEF" w:rsidRDefault="007E2FEF" w:rsidP="00C135D1">
      <w:pPr>
        <w:shd w:val="clear" w:color="auto" w:fill="FFFFFF"/>
        <w:spacing w:before="80" w:after="320"/>
        <w:ind w:left="720"/>
        <w:rPr>
          <w:rFonts w:asciiTheme="majorHAnsi" w:hAnsiTheme="majorHAnsi" w:cstheme="majorHAnsi"/>
          <w:sz w:val="24"/>
          <w:szCs w:val="24"/>
        </w:rPr>
      </w:pPr>
      <w:hyperlink r:id="rId11" w:history="1">
        <w:r>
          <w:rPr>
            <w:rStyle w:val="Hyperlink"/>
          </w:rPr>
          <w:t>Optometrija – Ārstniecībā izmantojamo medicīnisko tehnoloģiju datu bāze (zva.gov.lv)</w:t>
        </w:r>
      </w:hyperlink>
    </w:p>
    <w:p w14:paraId="0000002E" w14:textId="334B5C8A" w:rsidR="00392770" w:rsidRDefault="0039277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D29EFA0" w14:textId="7CDAB0A0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CB6F2B8" w14:textId="418A5BC7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EFC086" w14:textId="4FB9CFB6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6625CD9" w14:textId="2690C19B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A6029CF" w14:textId="76309D26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209A86D" w14:textId="078F2D8D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AD3266F" w14:textId="31762A3F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3F7606" w14:textId="269F946E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30E080B" w14:textId="5C575DCB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EB61FBF" w14:textId="4BECA48C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071779C" w14:textId="2C0672F7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E7538AA" w14:textId="420B7772" w:rsidR="005314CB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CF23844" w14:textId="77777777" w:rsidR="005314CB" w:rsidRPr="007E2FEF" w:rsidRDefault="005314C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000002F" w14:textId="77777777" w:rsidR="00392770" w:rsidRDefault="00392770">
      <w:pPr>
        <w:jc w:val="center"/>
        <w:rPr>
          <w:sz w:val="24"/>
          <w:szCs w:val="24"/>
        </w:rPr>
      </w:pPr>
    </w:p>
    <w:p w14:paraId="00000030" w14:textId="77777777" w:rsidR="00392770" w:rsidRPr="00E76EC8" w:rsidRDefault="00E76EC8">
      <w:pPr>
        <w:jc w:val="center"/>
        <w:rPr>
          <w:rFonts w:ascii="Calibri" w:hAnsi="Calibri" w:cs="Calibri"/>
          <w:sz w:val="40"/>
          <w:szCs w:val="40"/>
        </w:rPr>
      </w:pPr>
      <w:r w:rsidRPr="00E76EC8">
        <w:rPr>
          <w:rFonts w:ascii="Calibri" w:hAnsi="Calibri" w:cs="Calibri"/>
          <w:sz w:val="40"/>
          <w:szCs w:val="40"/>
        </w:rPr>
        <w:lastRenderedPageBreak/>
        <w:t>Optometrista kabineta iekārtu saraksts</w:t>
      </w:r>
    </w:p>
    <w:p w14:paraId="00000031" w14:textId="77777777" w:rsidR="00392770" w:rsidRDefault="00392770">
      <w:pPr>
        <w:jc w:val="center"/>
        <w:rPr>
          <w:sz w:val="38"/>
          <w:szCs w:val="38"/>
        </w:rPr>
      </w:pPr>
    </w:p>
    <w:p w14:paraId="00000041" w14:textId="5AF46F80" w:rsidR="00392770" w:rsidRDefault="00392770">
      <w:pPr>
        <w:rPr>
          <w:sz w:val="24"/>
          <w:szCs w:val="24"/>
        </w:rPr>
      </w:pPr>
    </w:p>
    <w:p w14:paraId="6E666813" w14:textId="69B3944A" w:rsidR="005314CB" w:rsidRDefault="005314CB">
      <w:pPr>
        <w:rPr>
          <w:sz w:val="24"/>
          <w:szCs w:val="24"/>
        </w:rPr>
      </w:pPr>
    </w:p>
    <w:p w14:paraId="294CD099" w14:textId="02EB3EC6" w:rsidR="005314CB" w:rsidRDefault="005314CB">
      <w:pPr>
        <w:rPr>
          <w:sz w:val="24"/>
          <w:szCs w:val="24"/>
        </w:rPr>
      </w:pPr>
    </w:p>
    <w:p w14:paraId="15D3E675" w14:textId="7D3CD6A4" w:rsidR="005314CB" w:rsidRDefault="005314CB">
      <w:pPr>
        <w:rPr>
          <w:sz w:val="24"/>
          <w:szCs w:val="24"/>
        </w:rPr>
      </w:pPr>
    </w:p>
    <w:p w14:paraId="22035501" w14:textId="77777777" w:rsidR="005314CB" w:rsidRDefault="005314CB">
      <w:pPr>
        <w:rPr>
          <w:sz w:val="24"/>
          <w:szCs w:val="24"/>
        </w:rPr>
      </w:pPr>
    </w:p>
    <w:p w14:paraId="00000042" w14:textId="1B3A75E6" w:rsidR="00392770" w:rsidRPr="00C135D1" w:rsidRDefault="00E76EC8">
      <w:pPr>
        <w:rPr>
          <w:rFonts w:asciiTheme="majorHAnsi" w:hAnsiTheme="majorHAnsi" w:cstheme="majorHAnsi"/>
          <w:sz w:val="24"/>
          <w:szCs w:val="24"/>
        </w:rPr>
      </w:pPr>
      <w:r w:rsidRPr="00C135D1">
        <w:rPr>
          <w:rFonts w:asciiTheme="majorHAnsi" w:hAnsiTheme="majorHAnsi" w:cstheme="majorHAnsi"/>
          <w:sz w:val="24"/>
          <w:szCs w:val="24"/>
        </w:rPr>
        <w:t xml:space="preserve">Atbildīgā persona par regulāru iekārtu darbības pārbaudi ir </w:t>
      </w:r>
      <w:r w:rsidR="007E2FEF">
        <w:rPr>
          <w:rFonts w:asciiTheme="majorHAnsi" w:hAnsiTheme="majorHAnsi" w:cstheme="majorHAnsi"/>
          <w:sz w:val="24"/>
          <w:szCs w:val="24"/>
        </w:rPr>
        <w:t>____________________</w:t>
      </w:r>
      <w:r w:rsidRPr="00C135D1">
        <w:rPr>
          <w:rFonts w:asciiTheme="majorHAnsi" w:hAnsiTheme="majorHAnsi" w:cstheme="majorHAnsi"/>
          <w:sz w:val="24"/>
          <w:szCs w:val="24"/>
        </w:rPr>
        <w:t xml:space="preserve">. </w:t>
      </w:r>
    </w:p>
    <w:sectPr w:rsidR="00392770" w:rsidRPr="00C135D1" w:rsidSect="000F4664">
      <w:pgSz w:w="11909" w:h="16834"/>
      <w:pgMar w:top="1440" w:right="1136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4CD"/>
    <w:multiLevelType w:val="multilevel"/>
    <w:tmpl w:val="3858D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910AAB"/>
    <w:multiLevelType w:val="hybridMultilevel"/>
    <w:tmpl w:val="35D6B24C"/>
    <w:lvl w:ilvl="0" w:tplc="434C1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70"/>
    <w:rsid w:val="000F4664"/>
    <w:rsid w:val="0030305C"/>
    <w:rsid w:val="00392770"/>
    <w:rsid w:val="005314CB"/>
    <w:rsid w:val="007E2FEF"/>
    <w:rsid w:val="00804AFD"/>
    <w:rsid w:val="0099494F"/>
    <w:rsid w:val="00AD6BCB"/>
    <w:rsid w:val="00BA4D63"/>
    <w:rsid w:val="00BF11E1"/>
    <w:rsid w:val="00C135D1"/>
    <w:rsid w:val="00E76EC8"/>
    <w:rsid w:val="00E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BFDC"/>
  <w15:docId w15:val="{2EB98156-553E-4115-8E2C-27E2BDF6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uiPriority w:val="99"/>
    <w:rsid w:val="00E76EC8"/>
    <w:rPr>
      <w:lang w:val="lv-LV" w:eastAsia="lv-LV"/>
    </w:rPr>
  </w:style>
  <w:style w:type="paragraph" w:customStyle="1" w:styleId="Standard">
    <w:name w:val="Standard"/>
    <w:rsid w:val="000F466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val="lv-LV" w:eastAsia="zh-CN" w:bidi="hi-IN"/>
    </w:rPr>
  </w:style>
  <w:style w:type="paragraph" w:styleId="ListParagraph">
    <w:name w:val="List Paragraph"/>
    <w:basedOn w:val="Normal"/>
    <w:uiPriority w:val="34"/>
    <w:qFormat/>
    <w:rsid w:val="00AD6B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zvais/mtdb/8-oftalmologijas-mediciniskie-pakalpojumi/optometristu-mediciniskie-pakalpojumi/redzes-rehabilitaci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va.gov.lv/zvais/mtdb/8-oftalmologijas-mediciniskie-pakalpojumi/optometristu-mediciniskie-pakalpojumi/acu-strukturu-veselibas-novertesa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va.gov.lv/zvais/mtdb/8-oftalmologijas-mediciniskie-pakalpojumi/optometristu-mediciniskie-pakalpojumi/redzes-korekcijas-un-pecaprupes-nozimesana" TargetMode="External"/><Relationship Id="rId11" Type="http://schemas.openxmlformats.org/officeDocument/2006/relationships/hyperlink" Target="https://www.zva.gov.lv/zvais/mtdb/8-oftalmologijas-mediciniskie-pakalpojumi/optometristu-mediciniskie-pakalpojumi" TargetMode="External"/><Relationship Id="rId5" Type="http://schemas.openxmlformats.org/officeDocument/2006/relationships/hyperlink" Target="https://www.zva.gov.lv/zvais/mtdb/8-oftalmologijas-mediciniskie-pakalpojumi/optometristu-mediciniskie-pakalpojumi/redzes-funkciju-novertesana" TargetMode="External"/><Relationship Id="rId10" Type="http://schemas.openxmlformats.org/officeDocument/2006/relationships/hyperlink" Target="https://www.zva.gov.lv/zvais/mtdb/8-oftalmologijas-mediciniskie-pakalpojumi/optometristu-mediciniskie-pakalpojumi/redzes-profilaktiska-parbaude-bern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va.gov.lv/zvais/mtdb/8-oftalmologijas-mediciniskie-pakalpojumi/optometristu-mediciniskie-pakalpojumi/vajredzigu-pacientu-redzes-speju-novertesana-un-korekcijas-paliglidzeklu-nozime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Linards</dc:creator>
  <cp:lastModifiedBy>Linards Kovalevskis</cp:lastModifiedBy>
  <cp:revision>8</cp:revision>
  <dcterms:created xsi:type="dcterms:W3CDTF">2021-04-26T08:26:00Z</dcterms:created>
  <dcterms:modified xsi:type="dcterms:W3CDTF">2021-04-26T08:53:00Z</dcterms:modified>
</cp:coreProperties>
</file>